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375"/>
        <w:gridCol w:w="125"/>
        <w:gridCol w:w="4223"/>
        <w:gridCol w:w="243"/>
        <w:gridCol w:w="1238"/>
        <w:gridCol w:w="293"/>
        <w:gridCol w:w="1508"/>
        <w:gridCol w:w="167"/>
      </w:tblGrid>
      <w:tr w:rsidR="00F375E5" w:rsidRPr="00DE2EDA" w:rsidTr="003352F1">
        <w:trPr>
          <w:trHeight w:val="300"/>
        </w:trPr>
        <w:tc>
          <w:tcPr>
            <w:tcW w:w="8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ind w:left="4765" w:right="-247"/>
              <w:rPr>
                <w:bCs/>
              </w:rPr>
            </w:pPr>
            <w:bookmarkStart w:id="0" w:name="RANGE!A1:D24"/>
            <w:r>
              <w:rPr>
                <w:bCs/>
              </w:rPr>
              <w:t>Z</w:t>
            </w:r>
            <w:r w:rsidRPr="00DE2EDA">
              <w:rPr>
                <w:bCs/>
              </w:rPr>
              <w:t>ałącznik Nr 1</w:t>
            </w:r>
            <w:r w:rsidRPr="00DE2EDA">
              <w:t xml:space="preserve">                                                                          </w:t>
            </w:r>
            <w:r>
              <w:t xml:space="preserve">                     do Uchwały Nr V/36/2011</w:t>
            </w:r>
            <w:r w:rsidRPr="00DE2EDA">
              <w:t xml:space="preserve">                                                                                   Rady Gminy Widuchowa                                                                    </w:t>
            </w:r>
            <w:r>
              <w:t xml:space="preserve">                z dnia 28 lutego</w:t>
            </w:r>
            <w:r w:rsidRPr="00DE2EDA">
              <w:t xml:space="preserve"> 201</w:t>
            </w:r>
            <w:r>
              <w:t>1</w:t>
            </w:r>
            <w:r w:rsidRPr="00DE2EDA">
              <w:t xml:space="preserve"> r.</w:t>
            </w:r>
          </w:p>
          <w:p w:rsidR="00F375E5" w:rsidRPr="00DE2EDA" w:rsidRDefault="00F375E5" w:rsidP="003352F1">
            <w:pPr>
              <w:ind w:firstLine="2780"/>
              <w:rPr>
                <w:rFonts w:ascii="Arial" w:hAnsi="Arial" w:cs="Arial"/>
                <w:b/>
                <w:bCs/>
              </w:rPr>
            </w:pPr>
          </w:p>
          <w:p w:rsidR="00F375E5" w:rsidRPr="00DE2EDA" w:rsidRDefault="00F375E5" w:rsidP="003352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2EDA">
              <w:rPr>
                <w:rFonts w:ascii="Arial" w:hAnsi="Arial" w:cs="Arial"/>
                <w:b/>
                <w:bCs/>
              </w:rPr>
              <w:t>Przychody i rozchody budżetu w 201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E2EDA">
              <w:rPr>
                <w:rFonts w:ascii="Arial" w:hAnsi="Arial" w:cs="Arial"/>
                <w:b/>
                <w:bCs/>
              </w:rPr>
              <w:t xml:space="preserve"> r.</w:t>
            </w:r>
            <w:bookmarkEnd w:id="0"/>
          </w:p>
        </w:tc>
        <w:bookmarkStart w:id="1" w:name="_GoBack"/>
        <w:bookmarkEnd w:id="1"/>
      </w:tr>
      <w:tr w:rsidR="00F375E5" w:rsidRPr="00DE2EDA" w:rsidTr="003352F1">
        <w:trPr>
          <w:trHeight w:val="13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5E5" w:rsidRPr="00DE2EDA" w:rsidTr="003352F1">
        <w:trPr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75E5" w:rsidRPr="00DE2EDA" w:rsidRDefault="00F375E5" w:rsidP="003352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5E5" w:rsidRPr="00DE2EDA" w:rsidRDefault="00F375E5" w:rsidP="00335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1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złotych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0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Kwota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2011 r.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00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15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1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4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7764392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Kredyty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952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Pożyczki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952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102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Pożyczki na finansowanie zadań realizowanych</w:t>
            </w:r>
            <w:r>
              <w:rPr>
                <w:rFonts w:ascii="Arial" w:hAnsi="Arial"/>
                <w:sz w:val="20"/>
                <w:szCs w:val="20"/>
              </w:rPr>
              <w:br/>
              <w:t>z udziałem środków pochodzących z budżetu UE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Spłaty pożyczek udzielonych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951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Prywatyzacja majątku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§ 944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Nadwyżka budżetu z lat ubiegłych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957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Papiery wartościowe (obligacje)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931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4630000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3134392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2299000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Spłaty kredytów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992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185000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Spłaty pożyczek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992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84000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76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963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Udzielone pożyczki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991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Lokaty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994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Wykup papierów wartościowych (obligacji)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982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2030000</w:t>
            </w:r>
          </w:p>
        </w:tc>
      </w:tr>
      <w:tr w:rsidR="00F375E5" w:rsidTr="003352F1">
        <w:trPr>
          <w:gridBefore w:val="1"/>
          <w:gridAfter w:val="1"/>
          <w:wBefore w:w="65" w:type="dxa"/>
          <w:wAfter w:w="167" w:type="dxa"/>
          <w:trHeight w:val="37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Rozchody z tytułu innych rozliczeń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§ 995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5E5" w:rsidRDefault="00F375E5" w:rsidP="003352F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7F063E" w:rsidRDefault="007F063E"/>
    <w:sectPr w:rsidR="007F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5"/>
    <w:rsid w:val="007F063E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E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E5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2011-03-02T10:21:00Z</dcterms:created>
  <dcterms:modified xsi:type="dcterms:W3CDTF">2011-03-02T10:23:00Z</dcterms:modified>
</cp:coreProperties>
</file>